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6CFB6" w14:textId="5EED504C" w:rsidR="00E27347" w:rsidRPr="00664E63" w:rsidRDefault="00664E63">
      <w:pPr>
        <w:rPr>
          <w:rFonts w:ascii="Times New Roman" w:hAnsi="Times New Roman" w:cs="Times New Roman"/>
          <w:b/>
          <w:bCs/>
          <w:u w:val="single"/>
        </w:rPr>
      </w:pPr>
      <w:r w:rsidRPr="00664E63">
        <w:rPr>
          <w:rFonts w:ascii="Times New Roman" w:hAnsi="Times New Roman" w:cs="Times New Roman"/>
          <w:b/>
          <w:bCs/>
          <w:u w:val="single"/>
        </w:rPr>
        <w:t>Liste des monuments historiques</w:t>
      </w:r>
    </w:p>
    <w:p w14:paraId="512E6713" w14:textId="18F9BF71" w:rsidR="00664E63" w:rsidRPr="00664E63" w:rsidRDefault="00664E63">
      <w:pPr>
        <w:rPr>
          <w:rFonts w:ascii="Times New Roman" w:hAnsi="Times New Roman" w:cs="Times New Roman"/>
        </w:rPr>
      </w:pPr>
    </w:p>
    <w:p w14:paraId="403222E6" w14:textId="13E54551" w:rsidR="00664E63" w:rsidRPr="00664E63" w:rsidRDefault="00664E63">
      <w:pPr>
        <w:rPr>
          <w:rFonts w:ascii="Times New Roman" w:hAnsi="Times New Roman" w:cs="Times New Roman"/>
          <w:b/>
          <w:bCs/>
        </w:rPr>
      </w:pPr>
      <w:r w:rsidRPr="00664E63">
        <w:rPr>
          <w:rFonts w:ascii="Times New Roman" w:hAnsi="Times New Roman" w:cs="Times New Roman"/>
          <w:b/>
          <w:bCs/>
        </w:rPr>
        <w:t>Bâtiments classés</w:t>
      </w:r>
    </w:p>
    <w:p w14:paraId="3D7A541D" w14:textId="77777777" w:rsidR="00664E63" w:rsidRPr="00664E63" w:rsidRDefault="00664E63">
      <w:pPr>
        <w:rPr>
          <w:rFonts w:ascii="Times New Roman" w:hAnsi="Times New Roman" w:cs="Times New Roman"/>
        </w:rPr>
      </w:pPr>
      <w:r w:rsidRPr="00664E63">
        <w:rPr>
          <w:rFonts w:ascii="Times New Roman" w:hAnsi="Times New Roman" w:cs="Times New Roman"/>
        </w:rPr>
        <w:t>Palais du Luxembourg (liste de 1862)</w:t>
      </w:r>
    </w:p>
    <w:p w14:paraId="3D005C8E" w14:textId="77777777" w:rsidR="00664E63" w:rsidRPr="00664E63" w:rsidRDefault="00664E63">
      <w:pPr>
        <w:rPr>
          <w:rFonts w:ascii="Times New Roman" w:hAnsi="Times New Roman" w:cs="Times New Roman"/>
        </w:rPr>
      </w:pPr>
      <w:r w:rsidRPr="00664E63">
        <w:rPr>
          <w:rFonts w:ascii="Times New Roman" w:hAnsi="Times New Roman" w:cs="Times New Roman"/>
        </w:rPr>
        <w:t xml:space="preserve">Fontaine de Médicis (liste de 1889) </w:t>
      </w:r>
    </w:p>
    <w:p w14:paraId="51A2E7A3" w14:textId="77777777" w:rsidR="00664E63" w:rsidRPr="00664E63" w:rsidRDefault="00664E63">
      <w:pPr>
        <w:rPr>
          <w:rFonts w:ascii="Times New Roman" w:hAnsi="Times New Roman" w:cs="Times New Roman"/>
        </w:rPr>
      </w:pPr>
      <w:r w:rsidRPr="00664E63">
        <w:rPr>
          <w:rFonts w:ascii="Times New Roman" w:hAnsi="Times New Roman" w:cs="Times New Roman"/>
        </w:rPr>
        <w:t>Façade de l’ancienne chapelle des Filles du Calvaire (arrêté du 24 mars 1848)</w:t>
      </w:r>
    </w:p>
    <w:p w14:paraId="1C3BB9C7" w14:textId="36AD13B9" w:rsidR="00664E63" w:rsidRPr="00664E63" w:rsidRDefault="00664E63">
      <w:pPr>
        <w:rPr>
          <w:rFonts w:ascii="Times New Roman" w:hAnsi="Times New Roman" w:cs="Times New Roman"/>
        </w:rPr>
      </w:pPr>
    </w:p>
    <w:p w14:paraId="28DA7F25" w14:textId="29AF9E50" w:rsidR="00664E63" w:rsidRPr="00664E63" w:rsidRDefault="00664E63">
      <w:pPr>
        <w:rPr>
          <w:rFonts w:ascii="Times New Roman" w:hAnsi="Times New Roman" w:cs="Times New Roman"/>
          <w:b/>
          <w:bCs/>
        </w:rPr>
      </w:pPr>
      <w:r w:rsidRPr="00664E63">
        <w:rPr>
          <w:rFonts w:ascii="Times New Roman" w:hAnsi="Times New Roman" w:cs="Times New Roman"/>
          <w:b/>
          <w:bCs/>
        </w:rPr>
        <w:t>Bâtiments inscrits</w:t>
      </w:r>
    </w:p>
    <w:p w14:paraId="51592AFE" w14:textId="62050BAE" w:rsidR="00664E63" w:rsidRPr="00664E63" w:rsidRDefault="00664E63">
      <w:pPr>
        <w:rPr>
          <w:rFonts w:ascii="Times New Roman" w:hAnsi="Times New Roman" w:cs="Times New Roman"/>
        </w:rPr>
      </w:pPr>
      <w:r w:rsidRPr="00664E63">
        <w:rPr>
          <w:rFonts w:ascii="Times New Roman" w:hAnsi="Times New Roman" w:cs="Times New Roman"/>
        </w:rPr>
        <w:t>Façades sur rue et sur cour de l’immeu</w:t>
      </w:r>
      <w:r w:rsidR="007E35CA">
        <w:rPr>
          <w:rFonts w:ascii="Times New Roman" w:hAnsi="Times New Roman" w:cs="Times New Roman"/>
        </w:rPr>
        <w:t>b</w:t>
      </w:r>
      <w:r w:rsidRPr="00664E63">
        <w:rPr>
          <w:rFonts w:ascii="Times New Roman" w:hAnsi="Times New Roman" w:cs="Times New Roman"/>
        </w:rPr>
        <w:t>le du 8 rue Garancière (arrêté du 20 oct</w:t>
      </w:r>
      <w:r w:rsidR="007E35CA">
        <w:rPr>
          <w:rFonts w:ascii="Times New Roman" w:hAnsi="Times New Roman" w:cs="Times New Roman"/>
        </w:rPr>
        <w:t>o</w:t>
      </w:r>
      <w:r w:rsidRPr="00664E63">
        <w:rPr>
          <w:rFonts w:ascii="Times New Roman" w:hAnsi="Times New Roman" w:cs="Times New Roman"/>
        </w:rPr>
        <w:t>bre 1928)</w:t>
      </w:r>
    </w:p>
    <w:p w14:paraId="6667489F" w14:textId="23A66C96" w:rsidR="00664E63" w:rsidRPr="00664E63" w:rsidRDefault="00664E63">
      <w:pPr>
        <w:rPr>
          <w:rFonts w:ascii="Times New Roman" w:hAnsi="Times New Roman" w:cs="Times New Roman"/>
        </w:rPr>
      </w:pPr>
      <w:r w:rsidRPr="00664E63">
        <w:rPr>
          <w:rFonts w:ascii="Times New Roman" w:hAnsi="Times New Roman" w:cs="Times New Roman"/>
        </w:rPr>
        <w:t>Mascaron en bronze de l’ancienne fontaine de l’immeu</w:t>
      </w:r>
      <w:r w:rsidR="007E35CA">
        <w:rPr>
          <w:rFonts w:ascii="Times New Roman" w:hAnsi="Times New Roman" w:cs="Times New Roman"/>
        </w:rPr>
        <w:t>b</w:t>
      </w:r>
      <w:r w:rsidRPr="00664E63">
        <w:rPr>
          <w:rFonts w:ascii="Times New Roman" w:hAnsi="Times New Roman" w:cs="Times New Roman"/>
        </w:rPr>
        <w:t>le du 12 rue Garancière (arrêté du 12 janvier 1962)</w:t>
      </w:r>
    </w:p>
    <w:sectPr w:rsidR="00664E63" w:rsidRPr="00664E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E63"/>
    <w:rsid w:val="00171B72"/>
    <w:rsid w:val="0062791C"/>
    <w:rsid w:val="00664E63"/>
    <w:rsid w:val="007608B7"/>
    <w:rsid w:val="007E35CA"/>
    <w:rsid w:val="00DE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A633A"/>
  <w15:chartTrackingRefBased/>
  <w15:docId w15:val="{152AB7F2-D75F-4C1F-9DCE-E742B0FFF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354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WALFARD</dc:creator>
  <cp:keywords/>
  <dc:description/>
  <cp:lastModifiedBy>Séverin FONROJET</cp:lastModifiedBy>
  <cp:revision>2</cp:revision>
  <dcterms:created xsi:type="dcterms:W3CDTF">2025-03-14T18:13:00Z</dcterms:created>
  <dcterms:modified xsi:type="dcterms:W3CDTF">2025-03-17T11:56:00Z</dcterms:modified>
</cp:coreProperties>
</file>